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spacing w:before="0"/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>Форма 2 «Требования к предмету оферты»</w:t>
      </w:r>
    </w:p>
    <w:p>
      <w:pPr>
        <w:spacing w:before="0"/>
        <w:jc w:val="center"/>
        <w:rPr>
          <w:rFonts w:cs="Arial"/>
          <w:b/>
          <w:szCs w:val="22"/>
        </w:rPr>
      </w:pPr>
    </w:p>
    <w:p>
      <w:pPr>
        <w:spacing w:before="0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ТРЕБОВАНИЯ К ПРЕДМЕТУ ОФЕРТЫ</w:t>
      </w:r>
    </w:p>
    <w:p>
      <w:pPr>
        <w:spacing w:before="0"/>
        <w:jc w:val="center"/>
        <w:rPr>
          <w:rFonts w:cs="Arial"/>
          <w:b/>
          <w:szCs w:val="22"/>
        </w:rPr>
      </w:pPr>
    </w:p>
    <w:p>
      <w:pPr>
        <w:numPr>
          <w:ilvl w:val="0"/>
          <w:numId w:val="38"/>
        </w:num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Общие положения</w:t>
      </w:r>
    </w:p>
    <w:p>
      <w:pPr>
        <w:autoSpaceDE w:val="0"/>
        <w:autoSpaceDN w:val="0"/>
        <w:adjustRightInd w:val="0"/>
        <w:spacing w:before="0"/>
        <w:ind w:left="708"/>
        <w:jc w:val="both"/>
        <w:rPr>
          <w:rFonts w:cs="Arial"/>
          <w:i/>
          <w:iCs/>
          <w:szCs w:val="22"/>
        </w:rPr>
      </w:pPr>
      <w:r>
        <w:rPr>
          <w:rFonts w:eastAsia="Calibri" w:cs="Arial"/>
          <w:szCs w:val="22"/>
          <w:lang w:eastAsia="en-US"/>
        </w:rPr>
        <w:t>Предмет закупки – оказание услуг по техническому обслуживанию инженерных систем и оборудования по адресу: 125047 г. Москва, 4-й Лесной переулок, дом 4, 11-й этаж.</w:t>
      </w:r>
    </w:p>
    <w:p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i/>
          <w:iCs/>
          <w:szCs w:val="22"/>
          <w:u w:val="single"/>
        </w:rPr>
      </w:pPr>
      <w:r>
        <w:rPr>
          <w:rFonts w:eastAsia="Calibri" w:cs="Arial"/>
          <w:b/>
          <w:szCs w:val="22"/>
          <w:u w:val="single"/>
          <w:lang w:eastAsia="en-US"/>
        </w:rPr>
        <w:t>Участник процедуры закупки подает оферту на весь объем закупки услуг по Техническому обслуживанию инженерных систем и оборудования</w:t>
      </w:r>
    </w:p>
    <w:p>
      <w:pPr>
        <w:autoSpaceDE w:val="0"/>
        <w:autoSpaceDN w:val="0"/>
        <w:adjustRightInd w:val="0"/>
        <w:spacing w:before="0"/>
        <w:ind w:firstLine="708"/>
        <w:jc w:val="both"/>
        <w:rPr>
          <w:rFonts w:eastAsia="Calibri" w:cs="Arial"/>
          <w:b/>
          <w:szCs w:val="22"/>
          <w:lang w:eastAsia="en-US"/>
        </w:rPr>
      </w:pPr>
    </w:p>
    <w:p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i/>
          <w:iCs/>
          <w:szCs w:val="22"/>
        </w:rPr>
      </w:pPr>
      <w:r>
        <w:rPr>
          <w:rFonts w:eastAsia="Calibri" w:cs="Arial"/>
          <w:b/>
          <w:szCs w:val="22"/>
          <w:lang w:eastAsia="en-US"/>
        </w:rPr>
        <w:t>Инициатор закупки ПАО «НГК «</w:t>
      </w:r>
      <w:proofErr w:type="spellStart"/>
      <w:r>
        <w:rPr>
          <w:rFonts w:eastAsia="Calibri" w:cs="Arial"/>
          <w:b/>
          <w:szCs w:val="22"/>
          <w:lang w:eastAsia="en-US"/>
        </w:rPr>
        <w:t>Славнефть</w:t>
      </w:r>
      <w:proofErr w:type="spellEnd"/>
      <w:r>
        <w:rPr>
          <w:rFonts w:eastAsia="Calibri" w:cs="Arial"/>
          <w:b/>
          <w:szCs w:val="22"/>
          <w:lang w:eastAsia="en-US"/>
        </w:rPr>
        <w:t>»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>
        <w:trPr>
          <w:trHeight w:val="340"/>
        </w:trPr>
        <w:tc>
          <w:tcPr>
            <w:tcW w:w="2348" w:type="dxa"/>
          </w:tcPr>
          <w:p>
            <w:pPr>
              <w:autoSpaceDE w:val="0"/>
              <w:autoSpaceDN w:val="0"/>
              <w:adjustRightInd w:val="0"/>
              <w:spacing w:before="0"/>
              <w:rPr>
                <w:rFonts w:cs="Arial"/>
              </w:rPr>
            </w:pPr>
          </w:p>
        </w:tc>
        <w:tc>
          <w:tcPr>
            <w:tcW w:w="7717" w:type="dxa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Место нахождения:</w:t>
            </w:r>
            <w:r>
              <w:rPr>
                <w:rFonts w:cs="Arial"/>
                <w:szCs w:val="22"/>
              </w:rPr>
              <w:tab/>
              <w:t>Российская Федерация, г. Москва</w:t>
            </w:r>
          </w:p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Почтовый адрес:125047, РФ, г. Москва, 4-й Лесной пер., д.4</w:t>
            </w:r>
          </w:p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ИНН:</w:t>
            </w:r>
            <w:r>
              <w:rPr>
                <w:rFonts w:cs="Arial"/>
                <w:szCs w:val="22"/>
              </w:rPr>
              <w:tab/>
              <w:t>7707017509</w:t>
            </w:r>
          </w:p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КПП:</w:t>
            </w:r>
            <w:r>
              <w:rPr>
                <w:rFonts w:cs="Arial"/>
                <w:szCs w:val="22"/>
              </w:rPr>
              <w:tab/>
              <w:t>997250001</w:t>
            </w:r>
          </w:p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Расчетный счет № 40702810900160001135</w:t>
            </w:r>
          </w:p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БАНК ВТБ (ПАО), Г. МОСКВА</w:t>
            </w:r>
          </w:p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БИК 044525187</w:t>
            </w:r>
          </w:p>
          <w:p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к/с 30101810700000000187</w:t>
            </w:r>
          </w:p>
        </w:tc>
      </w:tr>
    </w:tbl>
    <w:p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</w:p>
    <w:p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>
        <w:rPr>
          <w:rFonts w:cs="Arial"/>
          <w:b/>
          <w:szCs w:val="22"/>
        </w:rPr>
        <w:t xml:space="preserve">Плановые сроки оказания услуг: </w:t>
      </w:r>
      <w:r>
        <w:rPr>
          <w:rFonts w:cs="Arial"/>
          <w:szCs w:val="22"/>
        </w:rPr>
        <w:t>с 01.07.2026 г. по 30.06.2027г.</w:t>
      </w:r>
    </w:p>
    <w:p>
      <w:pPr>
        <w:spacing w:before="0"/>
        <w:jc w:val="both"/>
        <w:rPr>
          <w:rFonts w:cs="Arial"/>
          <w:b/>
          <w:szCs w:val="22"/>
          <w:u w:val="single"/>
        </w:rPr>
      </w:pPr>
      <w:r>
        <w:rPr>
          <w:rFonts w:cs="Arial"/>
          <w:b/>
          <w:szCs w:val="22"/>
          <w:u w:val="single"/>
        </w:rPr>
        <w:t>Общая характеристика объекта:</w:t>
      </w:r>
    </w:p>
    <w:p>
      <w:pPr>
        <w:spacing w:before="0"/>
        <w:jc w:val="both"/>
        <w:rPr>
          <w:rFonts w:cs="Arial"/>
          <w:b/>
          <w:szCs w:val="22"/>
          <w:u w:val="single"/>
        </w:rPr>
      </w:pPr>
    </w:p>
    <w:tbl>
      <w:tblPr>
        <w:tblStyle w:val="aa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07"/>
        <w:gridCol w:w="7989"/>
        <w:gridCol w:w="1499"/>
      </w:tblGrid>
      <w:tr>
        <w:tc>
          <w:tcPr>
            <w:tcW w:w="707" w:type="dxa"/>
          </w:tcPr>
          <w:p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№№</w:t>
            </w:r>
          </w:p>
        </w:tc>
        <w:tc>
          <w:tcPr>
            <w:tcW w:w="7989" w:type="dxa"/>
            <w:vAlign w:val="center"/>
          </w:tcPr>
          <w:p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Описание объекта</w:t>
            </w:r>
          </w:p>
        </w:tc>
        <w:tc>
          <w:tcPr>
            <w:tcW w:w="1499" w:type="dxa"/>
          </w:tcPr>
          <w:p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Помещения 11 этажа</w:t>
            </w:r>
          </w:p>
          <w:p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</w:p>
        </w:tc>
      </w:tr>
      <w:tr>
        <w:tc>
          <w:tcPr>
            <w:tcW w:w="707" w:type="dxa"/>
          </w:tcPr>
          <w:p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7989" w:type="dxa"/>
            <w:vAlign w:val="center"/>
          </w:tcPr>
          <w:p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Площадь арендуемых помещений</w:t>
            </w:r>
          </w:p>
        </w:tc>
        <w:tc>
          <w:tcPr>
            <w:tcW w:w="1499" w:type="dxa"/>
            <w:vAlign w:val="center"/>
          </w:tcPr>
          <w:p>
            <w:pPr>
              <w:spacing w:before="0"/>
              <w:ind w:hanging="141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2 634,9 м2</w:t>
            </w:r>
          </w:p>
        </w:tc>
      </w:tr>
      <w:tr>
        <w:tc>
          <w:tcPr>
            <w:tcW w:w="707" w:type="dxa"/>
          </w:tcPr>
          <w:p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7989" w:type="dxa"/>
            <w:vAlign w:val="center"/>
          </w:tcPr>
          <w:p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Перечень основных услуг по комплексному техническому обслуживанию:</w:t>
            </w:r>
          </w:p>
        </w:tc>
        <w:tc>
          <w:tcPr>
            <w:tcW w:w="1499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</w:p>
        </w:tc>
      </w:tr>
      <w:tr>
        <w:tc>
          <w:tcPr>
            <w:tcW w:w="707" w:type="dxa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2.1</w:t>
            </w:r>
          </w:p>
        </w:tc>
        <w:tc>
          <w:tcPr>
            <w:tcW w:w="7989" w:type="dxa"/>
            <w:vAlign w:val="center"/>
          </w:tcPr>
          <w:p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Система теплоснабжения (радиаторы отопления)</w:t>
            </w:r>
          </w:p>
        </w:tc>
        <w:tc>
          <w:tcPr>
            <w:tcW w:w="1499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115 шт.</w:t>
            </w:r>
          </w:p>
        </w:tc>
      </w:tr>
      <w:tr>
        <w:tc>
          <w:tcPr>
            <w:tcW w:w="707" w:type="dxa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2.2</w:t>
            </w:r>
          </w:p>
          <w:p>
            <w:pPr>
              <w:spacing w:before="0"/>
              <w:jc w:val="center"/>
              <w:rPr>
                <w:rFonts w:cs="Arial"/>
                <w:szCs w:val="22"/>
              </w:rPr>
            </w:pPr>
          </w:p>
          <w:p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89" w:type="dxa"/>
            <w:vAlign w:val="center"/>
          </w:tcPr>
          <w:p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Системы вентиляции и кондиционирования помещений:</w:t>
            </w:r>
          </w:p>
          <w:p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Приточно- вытяжная вентиляция, фанкойлы</w:t>
            </w:r>
          </w:p>
          <w:p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Кондиционеры сплит по </w:t>
            </w:r>
            <w:proofErr w:type="spellStart"/>
            <w:r>
              <w:rPr>
                <w:rFonts w:cs="Arial"/>
                <w:szCs w:val="22"/>
              </w:rPr>
              <w:t>холду</w:t>
            </w:r>
            <w:proofErr w:type="spellEnd"/>
            <w:r>
              <w:rPr>
                <w:rFonts w:cs="Arial"/>
                <w:szCs w:val="22"/>
              </w:rPr>
              <w:t xml:space="preserve"> (5-10 </w:t>
            </w:r>
            <w:proofErr w:type="spellStart"/>
            <w:r>
              <w:rPr>
                <w:rFonts w:cs="Arial"/>
                <w:szCs w:val="22"/>
              </w:rPr>
              <w:t>кВТ</w:t>
            </w:r>
            <w:proofErr w:type="spellEnd"/>
            <w:r>
              <w:rPr>
                <w:rFonts w:cs="Arial"/>
                <w:szCs w:val="22"/>
              </w:rPr>
              <w:t>).</w:t>
            </w:r>
          </w:p>
          <w:p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Кондиционер </w:t>
            </w:r>
            <w:proofErr w:type="spellStart"/>
            <w:r>
              <w:rPr>
                <w:rFonts w:cs="Arial"/>
                <w:szCs w:val="22"/>
              </w:rPr>
              <w:t>мультисплит</w:t>
            </w:r>
            <w:proofErr w:type="spellEnd"/>
            <w:r>
              <w:rPr>
                <w:rFonts w:cs="Arial"/>
                <w:szCs w:val="22"/>
              </w:rPr>
              <w:t xml:space="preserve"> (3 внутренних блока FXQ63P) </w:t>
            </w:r>
            <w:proofErr w:type="spellStart"/>
            <w:r>
              <w:rPr>
                <w:rFonts w:cs="Arial"/>
                <w:szCs w:val="22"/>
              </w:rPr>
              <w:t>Daikin</w:t>
            </w:r>
            <w:proofErr w:type="spellEnd"/>
            <w:r>
              <w:rPr>
                <w:rFonts w:cs="Arial"/>
                <w:szCs w:val="22"/>
              </w:rPr>
              <w:t xml:space="preserve"> 12 </w:t>
            </w:r>
            <w:proofErr w:type="spellStart"/>
            <w:r>
              <w:rPr>
                <w:rFonts w:cs="Arial"/>
                <w:szCs w:val="22"/>
              </w:rPr>
              <w:t>кВТ</w:t>
            </w:r>
            <w:proofErr w:type="spellEnd"/>
          </w:p>
        </w:tc>
        <w:tc>
          <w:tcPr>
            <w:tcW w:w="1499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59 шт.</w:t>
            </w:r>
          </w:p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6</w:t>
            </w:r>
            <w:r>
              <w:rPr>
                <w:rFonts w:cs="Arial"/>
                <w:szCs w:val="22"/>
              </w:rPr>
              <w:t xml:space="preserve"> шт.</w:t>
            </w:r>
          </w:p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 xml:space="preserve">1 </w:t>
            </w:r>
            <w:r>
              <w:rPr>
                <w:rFonts w:cs="Arial"/>
                <w:szCs w:val="22"/>
              </w:rPr>
              <w:t>шт.</w:t>
            </w:r>
          </w:p>
        </w:tc>
      </w:tr>
      <w:tr>
        <w:tc>
          <w:tcPr>
            <w:tcW w:w="707" w:type="dxa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2.3</w:t>
            </w:r>
          </w:p>
        </w:tc>
        <w:tc>
          <w:tcPr>
            <w:tcW w:w="7989" w:type="dxa"/>
            <w:vAlign w:val="center"/>
          </w:tcPr>
          <w:p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Системы электроснабжение и освещения</w:t>
            </w:r>
          </w:p>
          <w:p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Установленная мощность</w:t>
            </w:r>
          </w:p>
          <w:p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Электрощитовые</w:t>
            </w:r>
          </w:p>
          <w:p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Узлы учета электроэнергии</w:t>
            </w:r>
          </w:p>
          <w:p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Силовые электрощиты</w:t>
            </w:r>
          </w:p>
        </w:tc>
        <w:tc>
          <w:tcPr>
            <w:tcW w:w="1499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251,5 </w:t>
            </w:r>
            <w:proofErr w:type="spellStart"/>
            <w:r>
              <w:rPr>
                <w:rFonts w:cs="Arial"/>
                <w:szCs w:val="22"/>
              </w:rPr>
              <w:t>кВТ</w:t>
            </w:r>
            <w:proofErr w:type="spellEnd"/>
          </w:p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8 </w:t>
            </w:r>
            <w:proofErr w:type="spellStart"/>
            <w:r>
              <w:rPr>
                <w:rFonts w:cs="Arial"/>
                <w:szCs w:val="22"/>
              </w:rPr>
              <w:t>шт</w:t>
            </w:r>
            <w:proofErr w:type="spellEnd"/>
          </w:p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20 </w:t>
            </w:r>
            <w:proofErr w:type="spellStart"/>
            <w:r>
              <w:rPr>
                <w:rFonts w:cs="Arial"/>
                <w:szCs w:val="22"/>
              </w:rPr>
              <w:t>шт</w:t>
            </w:r>
            <w:proofErr w:type="spellEnd"/>
          </w:p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22 </w:t>
            </w:r>
            <w:proofErr w:type="spellStart"/>
            <w:r>
              <w:rPr>
                <w:rFonts w:cs="Arial"/>
                <w:szCs w:val="22"/>
              </w:rPr>
              <w:t>шт</w:t>
            </w:r>
            <w:proofErr w:type="spellEnd"/>
          </w:p>
        </w:tc>
      </w:tr>
      <w:tr>
        <w:tc>
          <w:tcPr>
            <w:tcW w:w="707" w:type="dxa"/>
          </w:tcPr>
          <w:p>
            <w:pPr>
              <w:spacing w:before="0"/>
              <w:jc w:val="center"/>
              <w:rPr>
                <w:rFonts w:cs="Arial"/>
                <w:szCs w:val="22"/>
                <w:highlight w:val="green"/>
              </w:rPr>
            </w:pPr>
            <w:bookmarkStart w:id="0" w:name="_Hlk164676025"/>
            <w:r>
              <w:rPr>
                <w:rFonts w:cs="Arial"/>
                <w:szCs w:val="22"/>
              </w:rPr>
              <w:t>2.4</w:t>
            </w:r>
          </w:p>
        </w:tc>
        <w:tc>
          <w:tcPr>
            <w:tcW w:w="7989" w:type="dxa"/>
            <w:vAlign w:val="center"/>
          </w:tcPr>
          <w:p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Система холодного, горячего водоснабжения, канализации и дренажа.</w:t>
            </w:r>
          </w:p>
        </w:tc>
        <w:tc>
          <w:tcPr>
            <w:tcW w:w="1499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</w:p>
        </w:tc>
      </w:tr>
      <w:tr>
        <w:tc>
          <w:tcPr>
            <w:tcW w:w="707" w:type="dxa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2.4.1</w:t>
            </w:r>
          </w:p>
        </w:tc>
        <w:tc>
          <w:tcPr>
            <w:tcW w:w="7989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Количество санузлов:</w:t>
            </w:r>
          </w:p>
        </w:tc>
        <w:tc>
          <w:tcPr>
            <w:tcW w:w="1499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</w:p>
        </w:tc>
      </w:tr>
      <w:tr>
        <w:tc>
          <w:tcPr>
            <w:tcW w:w="707" w:type="dxa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89" w:type="dxa"/>
            <w:vAlign w:val="center"/>
          </w:tcPr>
          <w:p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- </w:t>
            </w:r>
            <w:r>
              <w:rPr>
                <w:rFonts w:cs="Arial"/>
                <w:szCs w:val="22"/>
                <w:lang w:val="en-US"/>
              </w:rPr>
              <w:t>VIP</w:t>
            </w:r>
            <w:r>
              <w:rPr>
                <w:rFonts w:cs="Arial"/>
                <w:szCs w:val="22"/>
              </w:rPr>
              <w:t>-зона</w:t>
            </w:r>
          </w:p>
        </w:tc>
        <w:tc>
          <w:tcPr>
            <w:tcW w:w="1499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 шт.</w:t>
            </w:r>
          </w:p>
        </w:tc>
      </w:tr>
      <w:tr>
        <w:tc>
          <w:tcPr>
            <w:tcW w:w="707" w:type="dxa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89" w:type="dxa"/>
            <w:vAlign w:val="center"/>
          </w:tcPr>
          <w:p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- санузлы общего пользования  </w:t>
            </w:r>
          </w:p>
        </w:tc>
        <w:tc>
          <w:tcPr>
            <w:tcW w:w="1499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 шт.</w:t>
            </w:r>
          </w:p>
        </w:tc>
      </w:tr>
      <w:tr>
        <w:tc>
          <w:tcPr>
            <w:tcW w:w="707" w:type="dxa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989" w:type="dxa"/>
            <w:vAlign w:val="center"/>
          </w:tcPr>
          <w:p>
            <w:pPr>
              <w:spacing w:before="0"/>
              <w:ind w:firstLine="317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</w:rPr>
              <w:t xml:space="preserve">- установки </w:t>
            </w:r>
            <w:proofErr w:type="spellStart"/>
            <w:r>
              <w:rPr>
                <w:rFonts w:cs="Arial"/>
                <w:szCs w:val="22"/>
                <w:lang w:val="en-US"/>
              </w:rPr>
              <w:t>Sololift</w:t>
            </w:r>
            <w:proofErr w:type="spellEnd"/>
          </w:p>
        </w:tc>
        <w:tc>
          <w:tcPr>
            <w:tcW w:w="1499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1</w:t>
            </w:r>
            <w:r>
              <w:rPr>
                <w:rFonts w:cs="Arial"/>
                <w:szCs w:val="22"/>
              </w:rPr>
              <w:t>0</w:t>
            </w:r>
            <w:r>
              <w:rPr>
                <w:rFonts w:cs="Arial"/>
                <w:szCs w:val="22"/>
                <w:lang w:val="en-US"/>
              </w:rPr>
              <w:t xml:space="preserve"> </w:t>
            </w:r>
            <w:r>
              <w:rPr>
                <w:rFonts w:cs="Arial"/>
                <w:szCs w:val="22"/>
              </w:rPr>
              <w:t>шт.</w:t>
            </w:r>
          </w:p>
        </w:tc>
      </w:tr>
      <w:tr>
        <w:trPr>
          <w:trHeight w:val="287"/>
        </w:trPr>
        <w:tc>
          <w:tcPr>
            <w:tcW w:w="707" w:type="dxa"/>
          </w:tcPr>
          <w:p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7989" w:type="dxa"/>
            <w:vAlign w:val="center"/>
          </w:tcPr>
          <w:p>
            <w:pPr>
              <w:spacing w:before="0"/>
              <w:ind w:firstLine="317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Погрузочно-разгрузочные работы</w:t>
            </w:r>
          </w:p>
          <w:p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Прием, погрузка и отгрузка </w:t>
            </w:r>
            <w:proofErr w:type="spellStart"/>
            <w:r>
              <w:rPr>
                <w:rFonts w:cs="Arial"/>
                <w:szCs w:val="22"/>
              </w:rPr>
              <w:t>товарно</w:t>
            </w:r>
            <w:proofErr w:type="spellEnd"/>
            <w:r>
              <w:rPr>
                <w:rFonts w:cs="Arial"/>
                <w:szCs w:val="22"/>
              </w:rPr>
              <w:t xml:space="preserve"> -материальных</w:t>
            </w:r>
          </w:p>
          <w:p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ценностей; прием и расстановка по месту </w:t>
            </w:r>
          </w:p>
          <w:p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расположения кулеров бутылей с водой, </w:t>
            </w:r>
          </w:p>
          <w:p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сбор пустых пластиковых бутылей.</w:t>
            </w:r>
          </w:p>
        </w:tc>
        <w:tc>
          <w:tcPr>
            <w:tcW w:w="1499" w:type="dxa"/>
            <w:shd w:val="clear" w:color="auto" w:fill="auto"/>
            <w:vAlign w:val="center"/>
          </w:tcPr>
          <w:p>
            <w:pPr>
              <w:spacing w:before="0"/>
              <w:jc w:val="both"/>
              <w:rPr>
                <w:rFonts w:cs="Arial"/>
                <w:color w:val="00B050"/>
                <w:szCs w:val="22"/>
              </w:rPr>
            </w:pPr>
            <w:r>
              <w:rPr>
                <w:rFonts w:cs="Arial"/>
                <w:szCs w:val="22"/>
              </w:rPr>
              <w:t>По заявкам</w:t>
            </w:r>
          </w:p>
        </w:tc>
      </w:tr>
      <w:tr>
        <w:trPr>
          <w:trHeight w:val="287"/>
        </w:trPr>
        <w:tc>
          <w:tcPr>
            <w:tcW w:w="707" w:type="dxa"/>
          </w:tcPr>
          <w:p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7989" w:type="dxa"/>
            <w:vAlign w:val="center"/>
          </w:tcPr>
          <w:p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Сборка, разборка мебели с расстановкой (при необходимости)</w:t>
            </w:r>
          </w:p>
        </w:tc>
        <w:tc>
          <w:tcPr>
            <w:tcW w:w="1499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>
        <w:trPr>
          <w:trHeight w:val="287"/>
        </w:trPr>
        <w:tc>
          <w:tcPr>
            <w:tcW w:w="707" w:type="dxa"/>
          </w:tcPr>
          <w:p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7989" w:type="dxa"/>
            <w:vAlign w:val="center"/>
          </w:tcPr>
          <w:p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Установка, подключение/переключение, диагностика и мелкий ремонт дополнительного оборудования (бытовое электрооборудование, посудомоечная машина, кулера, шредера, кофемашины и т.д.)</w:t>
            </w:r>
          </w:p>
        </w:tc>
        <w:tc>
          <w:tcPr>
            <w:tcW w:w="1499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По заявкам</w:t>
            </w:r>
          </w:p>
        </w:tc>
      </w:tr>
      <w:bookmarkEnd w:id="0"/>
    </w:tbl>
    <w:p>
      <w:p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</w:p>
    <w:p>
      <w:p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</w:p>
    <w:p>
      <w:p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</w:p>
    <w:p>
      <w:p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</w:p>
    <w:p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Требования к предмету закупки</w:t>
      </w:r>
    </w:p>
    <w:p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iCs/>
          <w:szCs w:val="22"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"/>
        <w:gridCol w:w="3289"/>
        <w:gridCol w:w="3515"/>
        <w:gridCol w:w="1418"/>
        <w:gridCol w:w="1417"/>
      </w:tblGrid>
      <w:tr>
        <w:trPr>
          <w:trHeight w:val="300"/>
          <w:tblHeader/>
        </w:trPr>
        <w:tc>
          <w:tcPr>
            <w:tcW w:w="680" w:type="dxa"/>
            <w:vMerge w:val="restart"/>
            <w:shd w:val="clear" w:color="auto" w:fill="D9D9D9"/>
            <w:vAlign w:val="center"/>
          </w:tcPr>
          <w:p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Cs w:val="22"/>
              </w:rPr>
              <w:lastRenderedPageBreak/>
              <w:t>№ п/п</w:t>
            </w:r>
          </w:p>
        </w:tc>
        <w:tc>
          <w:tcPr>
            <w:tcW w:w="3289" w:type="dxa"/>
            <w:vMerge w:val="restart"/>
            <w:shd w:val="clear" w:color="auto" w:fill="D9D9D9"/>
            <w:vAlign w:val="center"/>
          </w:tcPr>
          <w:p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Cs w:val="22"/>
              </w:rPr>
              <w:t xml:space="preserve">Требование </w:t>
            </w:r>
            <w:r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515" w:type="dxa"/>
            <w:vMerge w:val="restart"/>
            <w:shd w:val="clear" w:color="auto" w:fill="D9D9D9"/>
            <w:vAlign w:val="center"/>
          </w:tcPr>
          <w:p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>
        <w:trPr>
          <w:trHeight w:val="300"/>
          <w:tblHeader/>
        </w:trPr>
        <w:tc>
          <w:tcPr>
            <w:tcW w:w="680" w:type="dxa"/>
            <w:vMerge/>
            <w:shd w:val="clear" w:color="auto" w:fill="D9D9D9"/>
            <w:vAlign w:val="center"/>
          </w:tcPr>
          <w:p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3289" w:type="dxa"/>
            <w:vMerge/>
            <w:shd w:val="clear" w:color="auto" w:fill="D9D9D9"/>
            <w:vAlign w:val="center"/>
          </w:tcPr>
          <w:p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3515" w:type="dxa"/>
            <w:vMerge/>
            <w:shd w:val="clear" w:color="auto" w:fill="D9D9D9"/>
            <w:vAlign w:val="center"/>
          </w:tcPr>
          <w:p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>
        <w:trPr>
          <w:trHeight w:val="164"/>
        </w:trPr>
        <w:tc>
          <w:tcPr>
            <w:tcW w:w="680" w:type="dxa"/>
            <w:noWrap/>
          </w:tcPr>
          <w:p>
            <w:pPr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3289" w:type="dxa"/>
          </w:tcPr>
          <w:p>
            <w:pPr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Согласие Исполнителя с представленным проектом договора на техническое обслуживание в неизменном виде</w:t>
            </w:r>
          </w:p>
        </w:tc>
        <w:tc>
          <w:tcPr>
            <w:tcW w:w="3515" w:type="dxa"/>
          </w:tcPr>
          <w:p>
            <w:pPr>
              <w:tabs>
                <w:tab w:val="left" w:pos="169"/>
              </w:tabs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418" w:type="dxa"/>
            <w:shd w:val="clear" w:color="000000" w:fill="FFFFFF"/>
          </w:tcPr>
          <w:p>
            <w:pPr>
              <w:spacing w:before="0"/>
              <w:jc w:val="center"/>
            </w:pPr>
            <w:r>
              <w:t>Да/Нет</w:t>
            </w:r>
          </w:p>
        </w:tc>
        <w:tc>
          <w:tcPr>
            <w:tcW w:w="1417" w:type="dxa"/>
          </w:tcPr>
          <w:p>
            <w:pPr>
              <w:spacing w:before="0"/>
            </w:pPr>
            <w:r>
              <w:t>Да</w:t>
            </w:r>
          </w:p>
        </w:tc>
      </w:tr>
      <w:tr>
        <w:trPr>
          <w:trHeight w:val="164"/>
        </w:trPr>
        <w:tc>
          <w:tcPr>
            <w:tcW w:w="680" w:type="dxa"/>
            <w:noWrap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3289" w:type="dxa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перечнем оказываемых услуг в офисных помещениях Заказчика в соответствии с Техническим заданием (Приложение №1)</w:t>
            </w:r>
          </w:p>
        </w:tc>
        <w:tc>
          <w:tcPr>
            <w:tcW w:w="3515" w:type="dxa"/>
          </w:tcPr>
          <w:p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Техническое задание (Приложение №1) на оказание услуг с печатью и подписью уполномоченного руководителя</w:t>
            </w:r>
          </w:p>
        </w:tc>
        <w:tc>
          <w:tcPr>
            <w:tcW w:w="1418" w:type="dxa"/>
            <w:shd w:val="clear" w:color="000000" w:fill="FFFFFF"/>
          </w:tcPr>
          <w:p>
            <w:pPr>
              <w:spacing w:before="0"/>
              <w:jc w:val="center"/>
            </w:pPr>
            <w:r>
              <w:t>Да/Нет</w:t>
            </w:r>
          </w:p>
        </w:tc>
        <w:tc>
          <w:tcPr>
            <w:tcW w:w="1417" w:type="dxa"/>
          </w:tcPr>
          <w:p>
            <w:pPr>
              <w:spacing w:before="0"/>
            </w:pPr>
            <w:r>
              <w:t>Да</w:t>
            </w:r>
          </w:p>
        </w:tc>
      </w:tr>
      <w:tr>
        <w:trPr>
          <w:trHeight w:val="164"/>
        </w:trPr>
        <w:tc>
          <w:tcPr>
            <w:tcW w:w="680" w:type="dxa"/>
            <w:noWrap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3289" w:type="dxa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графиком Регламентных работ по техническому обслуживанию, в том числе ремонту инженерных систем</w:t>
            </w:r>
          </w:p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(Дополнение № 1 к Техническому заданию)</w:t>
            </w:r>
          </w:p>
        </w:tc>
        <w:tc>
          <w:tcPr>
            <w:tcW w:w="3515" w:type="dxa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График Регламентных работ по техническому обслуживанию, в том числе ремонту инженерных систем (Дополнение № 1 к Техническому заданию) с печатью и подписью уполномоченного руководителя</w:t>
            </w:r>
          </w:p>
        </w:tc>
        <w:tc>
          <w:tcPr>
            <w:tcW w:w="1418" w:type="dxa"/>
            <w:shd w:val="clear" w:color="000000" w:fill="FFFFFF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</w:tbl>
    <w:p>
      <w:pPr>
        <w:keepNext/>
        <w:tabs>
          <w:tab w:val="left" w:pos="6237"/>
        </w:tabs>
        <w:spacing w:before="0"/>
        <w:rPr>
          <w:rFonts w:cs="Arial"/>
          <w:b/>
          <w:bCs/>
          <w:caps/>
          <w:color w:val="000000"/>
          <w:szCs w:val="22"/>
        </w:rPr>
      </w:pPr>
    </w:p>
    <w:p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Требования к контрагенту</w:t>
      </w:r>
    </w:p>
    <w:p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tbl>
      <w:tblPr>
        <w:tblStyle w:val="aa"/>
        <w:tblW w:w="10343" w:type="dxa"/>
        <w:tblLayout w:type="fixed"/>
        <w:tblLook w:val="04A0" w:firstRow="1" w:lastRow="0" w:firstColumn="1" w:lastColumn="0" w:noHBand="0" w:noVBand="1"/>
      </w:tblPr>
      <w:tblGrid>
        <w:gridCol w:w="514"/>
        <w:gridCol w:w="3592"/>
        <w:gridCol w:w="1843"/>
        <w:gridCol w:w="1984"/>
        <w:gridCol w:w="1276"/>
        <w:gridCol w:w="1134"/>
      </w:tblGrid>
      <w:tr>
        <w:trPr>
          <w:tblHeader/>
        </w:trPr>
        <w:tc>
          <w:tcPr>
            <w:tcW w:w="514" w:type="dxa"/>
            <w:vAlign w:val="center"/>
          </w:tcPr>
          <w:p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>
              <w:rPr>
                <w:rFonts w:cs="Arial"/>
                <w:b/>
                <w:bCs/>
                <w:sz w:val="20"/>
                <w:szCs w:val="22"/>
              </w:rPr>
              <w:t>№ п/п</w:t>
            </w:r>
          </w:p>
        </w:tc>
        <w:tc>
          <w:tcPr>
            <w:tcW w:w="3592" w:type="dxa"/>
            <w:vAlign w:val="center"/>
          </w:tcPr>
          <w:p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>
              <w:rPr>
                <w:rFonts w:cs="Arial"/>
                <w:b/>
                <w:bCs/>
                <w:sz w:val="20"/>
                <w:szCs w:val="22"/>
              </w:rPr>
              <w:t xml:space="preserve">Требование </w:t>
            </w:r>
            <w:r>
              <w:rPr>
                <w:rFonts w:cs="Arial"/>
                <w:b/>
                <w:bCs/>
                <w:sz w:val="20"/>
                <w:szCs w:val="22"/>
              </w:rPr>
              <w:br/>
              <w:t>(параметр оценки)</w:t>
            </w:r>
          </w:p>
        </w:tc>
        <w:tc>
          <w:tcPr>
            <w:tcW w:w="1843" w:type="dxa"/>
            <w:vAlign w:val="center"/>
          </w:tcPr>
          <w:p>
            <w:pPr>
              <w:spacing w:before="0"/>
              <w:ind w:left="-113" w:right="-108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>
              <w:rPr>
                <w:rFonts w:cs="Arial"/>
                <w:b/>
                <w:bCs/>
                <w:sz w:val="20"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984" w:type="dxa"/>
            <w:vAlign w:val="center"/>
          </w:tcPr>
          <w:p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>
              <w:rPr>
                <w:rFonts w:cs="Arial"/>
                <w:b/>
                <w:bCs/>
                <w:sz w:val="20"/>
                <w:szCs w:val="22"/>
              </w:rPr>
              <w:t>Необходимое заверение</w:t>
            </w:r>
          </w:p>
        </w:tc>
        <w:tc>
          <w:tcPr>
            <w:tcW w:w="1276" w:type="dxa"/>
            <w:vAlign w:val="center"/>
          </w:tcPr>
          <w:p>
            <w:pPr>
              <w:spacing w:before="0"/>
              <w:ind w:left="-111" w:firstLine="111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>
              <w:rPr>
                <w:rFonts w:cs="Arial"/>
                <w:b/>
                <w:bCs/>
                <w:sz w:val="20"/>
                <w:szCs w:val="22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>
            <w:pPr>
              <w:spacing w:before="0"/>
              <w:ind w:left="-110"/>
              <w:jc w:val="center"/>
              <w:rPr>
                <w:rFonts w:cs="Arial"/>
                <w:b/>
                <w:bCs/>
                <w:sz w:val="20"/>
                <w:szCs w:val="22"/>
                <w:u w:val="single"/>
              </w:rPr>
            </w:pPr>
            <w:r>
              <w:rPr>
                <w:rFonts w:cs="Arial"/>
                <w:b/>
                <w:bCs/>
                <w:sz w:val="20"/>
                <w:szCs w:val="22"/>
              </w:rPr>
              <w:t>Условия соответствия</w:t>
            </w:r>
          </w:p>
        </w:tc>
      </w:tr>
      <w:tr>
        <w:tc>
          <w:tcPr>
            <w:tcW w:w="514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3592" w:type="dxa"/>
            <w:vAlign w:val="center"/>
          </w:tcPr>
          <w:p>
            <w:pPr>
              <w:spacing w:before="0"/>
              <w:rPr>
                <w:rFonts w:cs="Arial"/>
                <w:color w:val="00B050"/>
                <w:szCs w:val="22"/>
              </w:rPr>
            </w:pPr>
            <w:r>
              <w:rPr>
                <w:rFonts w:cs="Arial"/>
                <w:szCs w:val="22"/>
              </w:rPr>
              <w:t>Наличие положительного опыта работы на рынке услуг не менее 3-х лет по оказанию ежедневных услуг по техническому обслуживанию оборудования в зданиях класса А</w:t>
            </w:r>
            <w:r>
              <w:rPr>
                <w:rFonts w:cs="Arial"/>
                <w:color w:val="00B050"/>
                <w:szCs w:val="22"/>
              </w:rPr>
              <w:t xml:space="preserve"> </w:t>
            </w:r>
          </w:p>
        </w:tc>
        <w:tc>
          <w:tcPr>
            <w:tcW w:w="1843" w:type="dxa"/>
            <w:vAlign w:val="center"/>
          </w:tcPr>
          <w:p>
            <w:pPr>
              <w:spacing w:before="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szCs w:val="22"/>
              </w:rPr>
              <w:t>Референс-лист с приложением копий договоров и актов выполненных работ, письма-отзывы контрагентов</w:t>
            </w:r>
          </w:p>
        </w:tc>
        <w:tc>
          <w:tcPr>
            <w:tcW w:w="1984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  <w:tr>
        <w:tc>
          <w:tcPr>
            <w:tcW w:w="514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3592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Наличие Представительства в                  г. Москва с указанием адреса, телефона, количества работников</w:t>
            </w:r>
          </w:p>
        </w:tc>
        <w:tc>
          <w:tcPr>
            <w:tcW w:w="1843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984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  <w:tr>
        <w:tc>
          <w:tcPr>
            <w:tcW w:w="514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3592" w:type="dxa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Информация о кадровых ресурсах Исполнителя </w:t>
            </w:r>
          </w:p>
        </w:tc>
        <w:tc>
          <w:tcPr>
            <w:tcW w:w="1843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Справка о кадровых ресурсах</w:t>
            </w:r>
          </w:p>
        </w:tc>
        <w:tc>
          <w:tcPr>
            <w:tcW w:w="1984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В произвольном формате на фирменном бланке предприятия с печатью и подписью уполномоченного руководителя </w:t>
            </w:r>
          </w:p>
        </w:tc>
        <w:tc>
          <w:tcPr>
            <w:tcW w:w="1276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  <w:tr>
        <w:tc>
          <w:tcPr>
            <w:tcW w:w="514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3592" w:type="dxa"/>
            <w:vAlign w:val="center"/>
          </w:tcPr>
          <w:p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Исполнитель на объекте Заказчика гарантирует привлечение </w:t>
            </w:r>
            <w:r>
              <w:rPr>
                <w:rFonts w:cs="Arial"/>
                <w:szCs w:val="22"/>
                <w:lang w:eastAsia="en-US"/>
              </w:rPr>
              <w:lastRenderedPageBreak/>
              <w:t>квалифицированного персонала (с подтверждением аттестации), согласованного Заказчиком в количестве не менее 4 (четырех) человек с опытом работы не менее 5-ти лет аттестованных:</w:t>
            </w:r>
          </w:p>
          <w:p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А. По электробезопасности</w:t>
            </w:r>
            <w:bookmarkStart w:id="1" w:name="_GoBack"/>
            <w:bookmarkEnd w:id="1"/>
            <w:r>
              <w:rPr>
                <w:rFonts w:cs="Arial"/>
                <w:szCs w:val="22"/>
                <w:lang w:eastAsia="en-US"/>
              </w:rPr>
              <w:t>:</w:t>
            </w:r>
          </w:p>
          <w:p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2 чел. – 4 группа, 1 чел. – 3 группа, 1 чел. – 2 группа</w:t>
            </w:r>
          </w:p>
        </w:tc>
        <w:tc>
          <w:tcPr>
            <w:tcW w:w="1843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 xml:space="preserve">Письмо-подтверждение </w:t>
            </w:r>
          </w:p>
        </w:tc>
        <w:tc>
          <w:tcPr>
            <w:tcW w:w="1984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В произвольном формате на фирменном </w:t>
            </w:r>
            <w:r>
              <w:rPr>
                <w:rFonts w:cs="Arial"/>
                <w:szCs w:val="22"/>
              </w:rPr>
              <w:lastRenderedPageBreak/>
              <w:t>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Да/Нет</w:t>
            </w:r>
          </w:p>
        </w:tc>
        <w:tc>
          <w:tcPr>
            <w:tcW w:w="1134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  <w:tr>
        <w:tc>
          <w:tcPr>
            <w:tcW w:w="514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3592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eastAsia="en-US"/>
              </w:rPr>
              <w:t xml:space="preserve">Исполнитель гарантирует качество оказанных услуг в соответствии с требованиями нормативных документов ПУЭ, ПТЭЭП, МПТБ, СНиП, Госстандартов и другой нормативной документации по техническому обслуживанию </w:t>
            </w:r>
            <w:r>
              <w:rPr>
                <w:rFonts w:cs="Arial"/>
                <w:color w:val="000000" w:themeColor="text1"/>
                <w:szCs w:val="22"/>
                <w:lang w:eastAsia="en-US"/>
              </w:rPr>
              <w:t>инженерных систем помещений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1984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  <w:tr>
        <w:tc>
          <w:tcPr>
            <w:tcW w:w="514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3592" w:type="dxa"/>
            <w:vAlign w:val="center"/>
          </w:tcPr>
          <w:p>
            <w:pPr>
              <w:tabs>
                <w:tab w:val="left" w:pos="426"/>
              </w:tabs>
              <w:contextualSpacing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Персонал Исполнителя, Заказчика, должен состоять в штате организации с оформлением трудовых отношений в соответствии с Трудовым кодексом РФ.</w:t>
            </w:r>
          </w:p>
        </w:tc>
        <w:tc>
          <w:tcPr>
            <w:tcW w:w="1843" w:type="dxa"/>
            <w:vAlign w:val="center"/>
          </w:tcPr>
          <w:p>
            <w:pPr>
              <w:spacing w:before="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1984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  <w:tr>
        <w:tc>
          <w:tcPr>
            <w:tcW w:w="514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3592" w:type="dxa"/>
            <w:vAlign w:val="center"/>
          </w:tcPr>
          <w:p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Исполнителя на предоставление данных о персонале, привлекаемом к оказанию услуг Заказчику для последующей проверки в Службе Безопасности Заказчика</w:t>
            </w:r>
          </w:p>
        </w:tc>
        <w:tc>
          <w:tcPr>
            <w:tcW w:w="1843" w:type="dxa"/>
            <w:vAlign w:val="center"/>
          </w:tcPr>
          <w:p>
            <w:pPr>
              <w:spacing w:before="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1984" w:type="dxa"/>
            <w:vAlign w:val="center"/>
          </w:tcPr>
          <w:p>
            <w:pPr>
              <w:spacing w:before="0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  <w:tr>
        <w:tc>
          <w:tcPr>
            <w:tcW w:w="514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3592" w:type="dxa"/>
            <w:vAlign w:val="center"/>
          </w:tcPr>
          <w:p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Наличие у Исполнителя лицензии на деятельность по сбору, транспортированию, обработке, утилизации, обезвреживанию, размещению отходов </w:t>
            </w:r>
            <w:r>
              <w:rPr>
                <w:rFonts w:cs="Arial"/>
                <w:szCs w:val="22"/>
                <w:lang w:val="en-US"/>
              </w:rPr>
              <w:t>I</w:t>
            </w:r>
            <w:r>
              <w:rPr>
                <w:rFonts w:cs="Arial"/>
                <w:szCs w:val="22"/>
              </w:rPr>
              <w:t>-</w:t>
            </w:r>
            <w:r>
              <w:rPr>
                <w:rFonts w:cs="Arial"/>
                <w:szCs w:val="22"/>
                <w:lang w:val="en-US"/>
              </w:rPr>
              <w:t>IV</w:t>
            </w:r>
            <w:r>
              <w:rPr>
                <w:rFonts w:cs="Arial"/>
                <w:szCs w:val="22"/>
              </w:rPr>
              <w:t xml:space="preserve"> классов опасности (</w:t>
            </w:r>
            <w:r>
              <w:rPr>
                <w:rFonts w:cs="Arial"/>
                <w:color w:val="000000" w:themeColor="text1"/>
                <w:szCs w:val="22"/>
              </w:rPr>
              <w:t xml:space="preserve">люминесцентные лампы), либо </w:t>
            </w:r>
            <w:r>
              <w:rPr>
                <w:rFonts w:cs="Arial"/>
                <w:szCs w:val="22"/>
              </w:rPr>
              <w:t>согласие Исполнителя, в случае необходимости, привлекать к оказанию услуг третьих лиц, имеющих такую лицензию.</w:t>
            </w:r>
          </w:p>
        </w:tc>
        <w:tc>
          <w:tcPr>
            <w:tcW w:w="1843" w:type="dxa"/>
            <w:vAlign w:val="center"/>
          </w:tcPr>
          <w:p>
            <w:pPr>
              <w:spacing w:before="0"/>
              <w:rPr>
                <w:rFonts w:cs="Arial"/>
                <w:color w:val="00B050"/>
                <w:szCs w:val="22"/>
              </w:rPr>
            </w:pPr>
            <w:r>
              <w:rPr>
                <w:rFonts w:cs="Arial"/>
                <w:szCs w:val="22"/>
              </w:rPr>
              <w:t>Копия лицензии, либо Письмо-подтверждение</w:t>
            </w:r>
          </w:p>
        </w:tc>
        <w:tc>
          <w:tcPr>
            <w:tcW w:w="1984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  <w:tr>
        <w:tc>
          <w:tcPr>
            <w:tcW w:w="514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</w:p>
        </w:tc>
        <w:tc>
          <w:tcPr>
            <w:tcW w:w="3592" w:type="dxa"/>
            <w:vAlign w:val="center"/>
          </w:tcPr>
          <w:p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Гарантия Исполнителя соблюдения персоналом Правил работы в Здании и внутреннего распорядка в помещениях Заказчика;</w:t>
            </w:r>
          </w:p>
          <w:p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Соблюдение действующих требований охраны труда, </w:t>
            </w:r>
            <w:r>
              <w:rPr>
                <w:rFonts w:cs="Arial"/>
                <w:szCs w:val="22"/>
              </w:rPr>
              <w:lastRenderedPageBreak/>
              <w:t xml:space="preserve">пожарной и экологической безопасности, а также иных требований, предусмотренных действующим законодательством Российской Федерации. Нести ответственность </w:t>
            </w:r>
          </w:p>
          <w:p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за их неисполнение.</w:t>
            </w:r>
          </w:p>
        </w:tc>
        <w:tc>
          <w:tcPr>
            <w:tcW w:w="1843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 xml:space="preserve">Письмо-подтверждение </w:t>
            </w:r>
          </w:p>
        </w:tc>
        <w:tc>
          <w:tcPr>
            <w:tcW w:w="1984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В произвольном формате на фирменном бланке предприятия с печатью и подписью </w:t>
            </w:r>
            <w:r>
              <w:rPr>
                <w:rFonts w:cs="Arial"/>
                <w:szCs w:val="22"/>
              </w:rPr>
              <w:lastRenderedPageBreak/>
              <w:t>уполномоченного руководителя</w:t>
            </w:r>
          </w:p>
        </w:tc>
        <w:tc>
          <w:tcPr>
            <w:tcW w:w="1276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Да/Нет</w:t>
            </w:r>
          </w:p>
        </w:tc>
        <w:tc>
          <w:tcPr>
            <w:tcW w:w="1134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  <w:tr>
        <w:tc>
          <w:tcPr>
            <w:tcW w:w="514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</w:p>
        </w:tc>
        <w:tc>
          <w:tcPr>
            <w:tcW w:w="3592" w:type="dxa"/>
            <w:vAlign w:val="center"/>
          </w:tcPr>
          <w:p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>
              <w:rPr>
                <w:rFonts w:eastAsia="Calibri" w:cs="Arial"/>
                <w:szCs w:val="22"/>
                <w:lang w:eastAsia="en-US"/>
              </w:rPr>
              <w:t>Согласие Исполнителя обеспечивать работников фирменной спецодеждой, оборудованием, инструментом и расходными материалами</w:t>
            </w:r>
          </w:p>
          <w:p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>
              <w:rPr>
                <w:rFonts w:eastAsia="Calibri" w:cs="Arial"/>
                <w:szCs w:val="22"/>
                <w:lang w:eastAsia="en-US"/>
              </w:rPr>
              <w:t>(лампы, крепежный материал, запчасти стоимостью до 30000,00 рублей/месяц) для оказания необходимого объема услуг.</w:t>
            </w:r>
          </w:p>
        </w:tc>
        <w:tc>
          <w:tcPr>
            <w:tcW w:w="1843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1984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  <w:tr>
        <w:tc>
          <w:tcPr>
            <w:tcW w:w="514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11</w:t>
            </w:r>
          </w:p>
        </w:tc>
        <w:tc>
          <w:tcPr>
            <w:tcW w:w="3592" w:type="dxa"/>
            <w:vAlign w:val="center"/>
          </w:tcPr>
          <w:p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i/>
                <w:szCs w:val="22"/>
                <w:lang w:eastAsia="en-US"/>
              </w:rPr>
            </w:pPr>
            <w:r>
              <w:rPr>
                <w:rStyle w:val="aff1"/>
                <w:rFonts w:eastAsiaTheme="minorEastAsia"/>
                <w:i w:val="0"/>
                <w:szCs w:val="22"/>
              </w:rPr>
              <w:t>Отсутствие в течение последних двух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одностороннего расторжения/одностороннего отказа от договора</w:t>
            </w:r>
          </w:p>
        </w:tc>
        <w:tc>
          <w:tcPr>
            <w:tcW w:w="1843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 Контрагента</w:t>
            </w:r>
          </w:p>
        </w:tc>
        <w:tc>
          <w:tcPr>
            <w:tcW w:w="1984" w:type="dxa"/>
            <w:vAlign w:val="center"/>
          </w:tcPr>
          <w:p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  <w:tr>
        <w:trPr>
          <w:trHeight w:val="164"/>
        </w:trPr>
        <w:tc>
          <w:tcPr>
            <w:tcW w:w="514" w:type="dxa"/>
            <w:noWrap/>
            <w:vAlign w:val="center"/>
          </w:tcPr>
          <w:p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1</w:t>
            </w: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3592" w:type="dxa"/>
          </w:tcPr>
          <w:p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Гарантия Подрядчика соблюдать требования Стандарта ПАО «НГК «</w:t>
            </w:r>
            <w:proofErr w:type="spellStart"/>
            <w:r>
              <w:rPr>
                <w:rFonts w:cs="Arial"/>
                <w:szCs w:val="22"/>
                <w:lang w:eastAsia="en-US"/>
              </w:rPr>
              <w:t>Славнефть</w:t>
            </w:r>
            <w:proofErr w:type="spellEnd"/>
            <w:r>
              <w:rPr>
                <w:rFonts w:cs="Arial"/>
                <w:szCs w:val="22"/>
                <w:lang w:eastAsia="en-US"/>
              </w:rPr>
              <w:t>:</w:t>
            </w:r>
          </w:p>
          <w:p>
            <w:pPr>
              <w:spacing w:before="0"/>
            </w:pPr>
            <w:r>
              <w:t>- Требования безопасности при выполнении работ подрядными организациями</w:t>
            </w:r>
          </w:p>
          <w:p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 xml:space="preserve">- </w:t>
            </w:r>
            <w:r>
              <w:t>Передача информации в области промышленной, пожарной безопасности, охраны труда и окружающей среды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t>Письмо-подтверждение</w:t>
            </w:r>
          </w:p>
        </w:tc>
        <w:tc>
          <w:tcPr>
            <w:tcW w:w="1984" w:type="dxa"/>
          </w:tcPr>
          <w:p>
            <w: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</w:tcPr>
          <w:p>
            <w:r>
              <w:t>Да/Нет</w:t>
            </w:r>
          </w:p>
        </w:tc>
        <w:tc>
          <w:tcPr>
            <w:tcW w:w="1134" w:type="dxa"/>
          </w:tcPr>
          <w:p>
            <w:r>
              <w:t>Да</w:t>
            </w:r>
          </w:p>
        </w:tc>
      </w:tr>
    </w:tbl>
    <w:p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>
      <w:pPr>
        <w:tabs>
          <w:tab w:val="left" w:pos="426"/>
        </w:tabs>
        <w:spacing w:before="0"/>
        <w:rPr>
          <w:rFonts w:cs="Arial"/>
          <w:szCs w:val="22"/>
        </w:rPr>
      </w:pPr>
    </w:p>
    <w:p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Начальник Управления делами</w:t>
      </w:r>
    </w:p>
    <w:p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                             А. А. Пидченко  </w:t>
      </w:r>
    </w:p>
    <w:p>
      <w:pPr>
        <w:tabs>
          <w:tab w:val="left" w:pos="426"/>
        </w:tabs>
        <w:spacing w:before="0"/>
        <w:rPr>
          <w:rFonts w:cs="Arial"/>
          <w:szCs w:val="22"/>
        </w:rPr>
      </w:pPr>
    </w:p>
    <w:p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          «___»                       2026 г.</w:t>
      </w:r>
    </w:p>
    <w:p>
      <w:pPr>
        <w:tabs>
          <w:tab w:val="left" w:pos="426"/>
        </w:tabs>
        <w:spacing w:before="0"/>
        <w:rPr>
          <w:rFonts w:cs="Arial"/>
          <w:szCs w:val="22"/>
        </w:rPr>
      </w:pPr>
    </w:p>
    <w:p>
      <w:pPr>
        <w:tabs>
          <w:tab w:val="left" w:pos="426"/>
        </w:tabs>
        <w:spacing w:before="0"/>
        <w:rPr>
          <w:rFonts w:cs="Arial"/>
          <w:szCs w:val="22"/>
        </w:rPr>
      </w:pPr>
    </w:p>
    <w:p>
      <w:pPr>
        <w:tabs>
          <w:tab w:val="left" w:pos="426"/>
        </w:tabs>
        <w:spacing w:before="0"/>
        <w:rPr>
          <w:rFonts w:cs="Arial"/>
          <w:szCs w:val="22"/>
        </w:rPr>
      </w:pPr>
    </w:p>
    <w:p>
      <w:pPr>
        <w:tabs>
          <w:tab w:val="left" w:pos="426"/>
        </w:tabs>
        <w:spacing w:before="0"/>
        <w:rPr>
          <w:rFonts w:cs="Arial"/>
          <w:szCs w:val="22"/>
        </w:rPr>
      </w:pPr>
    </w:p>
    <w:sectPr>
      <w:footerReference w:type="default" r:id="rId8"/>
      <w:pgSz w:w="11906" w:h="16838"/>
      <w:pgMar w:top="899" w:right="567" w:bottom="360" w:left="1134" w:header="708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before="0"/>
      </w:pPr>
      <w:r>
        <w:separator/>
      </w:r>
    </w:p>
  </w:endnote>
  <w:endnote w:type="continuationSeparator" w:id="0">
    <w:p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before="0"/>
      </w:pPr>
      <w:r>
        <w:separator/>
      </w:r>
    </w:p>
  </w:footnote>
  <w:footnote w:type="continuationSeparator" w:id="0">
    <w:p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309BF"/>
    <w:multiLevelType w:val="hybridMultilevel"/>
    <w:tmpl w:val="358EE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E2BF5"/>
    <w:multiLevelType w:val="multilevel"/>
    <w:tmpl w:val="33D26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3B7AEF"/>
    <w:multiLevelType w:val="hybridMultilevel"/>
    <w:tmpl w:val="2B12D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D2308A"/>
    <w:multiLevelType w:val="hybridMultilevel"/>
    <w:tmpl w:val="73A647B4"/>
    <w:lvl w:ilvl="0" w:tplc="3FD64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4E1593"/>
    <w:multiLevelType w:val="hybridMultilevel"/>
    <w:tmpl w:val="39BC3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961E4"/>
    <w:multiLevelType w:val="hybridMultilevel"/>
    <w:tmpl w:val="7A8813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10" w15:restartNumberingAfterBreak="0">
    <w:nsid w:val="1F4728B4"/>
    <w:multiLevelType w:val="hybridMultilevel"/>
    <w:tmpl w:val="0BE25BE4"/>
    <w:lvl w:ilvl="0" w:tplc="F716B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F3E10"/>
    <w:multiLevelType w:val="multilevel"/>
    <w:tmpl w:val="7BC48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6328C8"/>
    <w:multiLevelType w:val="hybridMultilevel"/>
    <w:tmpl w:val="7E146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E4ADF"/>
    <w:multiLevelType w:val="hybridMultilevel"/>
    <w:tmpl w:val="1FB01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9863ADD"/>
    <w:multiLevelType w:val="hybridMultilevel"/>
    <w:tmpl w:val="6B561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E37D58"/>
    <w:multiLevelType w:val="hybridMultilevel"/>
    <w:tmpl w:val="B972F62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9" w15:restartNumberingAfterBreak="0">
    <w:nsid w:val="323D7CBE"/>
    <w:multiLevelType w:val="hybridMultilevel"/>
    <w:tmpl w:val="9EFA4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33631C7A"/>
    <w:multiLevelType w:val="multilevel"/>
    <w:tmpl w:val="42726B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90456"/>
    <w:multiLevelType w:val="hybridMultilevel"/>
    <w:tmpl w:val="A664E4D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2EC73B5"/>
    <w:multiLevelType w:val="hybridMultilevel"/>
    <w:tmpl w:val="8EBE9A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D2184"/>
    <w:multiLevelType w:val="hybridMultilevel"/>
    <w:tmpl w:val="F87E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FD4885"/>
    <w:multiLevelType w:val="hybridMultilevel"/>
    <w:tmpl w:val="943C2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87613F"/>
    <w:multiLevelType w:val="hybridMultilevel"/>
    <w:tmpl w:val="D2C2E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717D0A"/>
    <w:multiLevelType w:val="hybridMultilevel"/>
    <w:tmpl w:val="BA28F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E304A"/>
    <w:multiLevelType w:val="hybridMultilevel"/>
    <w:tmpl w:val="6A3CF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6AD531CA"/>
    <w:multiLevelType w:val="hybridMultilevel"/>
    <w:tmpl w:val="951266E0"/>
    <w:lvl w:ilvl="0" w:tplc="04190001">
      <w:start w:val="1"/>
      <w:numFmt w:val="bullet"/>
      <w:lvlText w:val=""/>
      <w:lvlJc w:val="left"/>
      <w:pPr>
        <w:ind w:left="10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34" w15:restartNumberingAfterBreak="0">
    <w:nsid w:val="6C50042B"/>
    <w:multiLevelType w:val="hybridMultilevel"/>
    <w:tmpl w:val="635C55D6"/>
    <w:lvl w:ilvl="0" w:tplc="10922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D27047"/>
    <w:multiLevelType w:val="hybridMultilevel"/>
    <w:tmpl w:val="359ABD24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EB37B2E"/>
    <w:multiLevelType w:val="multilevel"/>
    <w:tmpl w:val="B4B88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2"/>
  </w:num>
  <w:num w:numId="6">
    <w:abstractNumId w:val="15"/>
  </w:num>
  <w:num w:numId="7">
    <w:abstractNumId w:val="21"/>
  </w:num>
  <w:num w:numId="8">
    <w:abstractNumId w:val="36"/>
  </w:num>
  <w:num w:numId="9">
    <w:abstractNumId w:val="3"/>
  </w:num>
  <w:num w:numId="10">
    <w:abstractNumId w:val="24"/>
  </w:num>
  <w:num w:numId="11">
    <w:abstractNumId w:val="29"/>
  </w:num>
  <w:num w:numId="12">
    <w:abstractNumId w:val="2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6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7"/>
  </w:num>
  <w:num w:numId="20">
    <w:abstractNumId w:val="22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</w:num>
  <w:num w:numId="25">
    <w:abstractNumId w:val="18"/>
  </w:num>
  <w:num w:numId="26">
    <w:abstractNumId w:val="30"/>
  </w:num>
  <w:num w:numId="27">
    <w:abstractNumId w:val="1"/>
  </w:num>
  <w:num w:numId="28">
    <w:abstractNumId w:val="19"/>
  </w:num>
  <w:num w:numId="29">
    <w:abstractNumId w:val="34"/>
  </w:num>
  <w:num w:numId="30">
    <w:abstractNumId w:val="4"/>
  </w:num>
  <w:num w:numId="31">
    <w:abstractNumId w:val="0"/>
  </w:num>
  <w:num w:numId="32">
    <w:abstractNumId w:val="20"/>
  </w:num>
  <w:num w:numId="33">
    <w:abstractNumId w:val="23"/>
  </w:num>
  <w:num w:numId="34">
    <w:abstractNumId w:val="33"/>
  </w:num>
  <w:num w:numId="35">
    <w:abstractNumId w:val="12"/>
  </w:num>
  <w:num w:numId="36">
    <w:abstractNumId w:val="13"/>
  </w:num>
  <w:num w:numId="37">
    <w:abstractNumId w:val="11"/>
  </w:num>
  <w:num w:numId="38">
    <w:abstractNumId w:val="26"/>
  </w:num>
  <w:num w:numId="39">
    <w:abstractNumId w:val="8"/>
  </w:num>
  <w:num w:numId="40">
    <w:abstractNumId w:val="35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453AB35D-4EE0-4016-9F60-21702B5F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9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locked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Pr>
      <w:rFonts w:ascii="Cambria" w:eastAsia="Times New Roman" w:hAnsi="Cambria"/>
      <w:color w:val="404040"/>
    </w:rPr>
  </w:style>
  <w:style w:type="paragraph" w:styleId="a3">
    <w:name w:val="Title"/>
    <w:basedOn w:val="a"/>
    <w:link w:val="a4"/>
    <w:uiPriority w:val="99"/>
    <w:qFormat/>
    <w:pPr>
      <w:jc w:val="center"/>
    </w:pPr>
    <w:rPr>
      <w:rFonts w:eastAsia="Calibri"/>
      <w:b/>
      <w:bCs/>
      <w:sz w:val="24"/>
    </w:rPr>
  </w:style>
  <w:style w:type="character" w:customStyle="1" w:styleId="a4">
    <w:name w:val="Заголовок Знак"/>
    <w:link w:val="a3"/>
    <w:uiPriority w:val="99"/>
    <w:locked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Pr>
      <w:rFonts w:ascii="Arial" w:hAnsi="Arial"/>
      <w:sz w:val="20"/>
    </w:rPr>
  </w:style>
  <w:style w:type="paragraph" w:customStyle="1" w:styleId="11">
    <w:name w:val="Обычный1"/>
    <w:uiPriority w:val="99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Pr>
      <w:rFonts w:ascii="Arial" w:hAnsi="Arial"/>
      <w:sz w:val="24"/>
      <w:lang w:eastAsia="ru-RU"/>
    </w:r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character" w:styleId="af2">
    <w:name w:val="FollowedHyperlink"/>
    <w:uiPriority w:val="99"/>
    <w:semiHidden/>
    <w:unhideWhenUsed/>
    <w:rPr>
      <w:color w:val="800080"/>
      <w:u w:val="single"/>
    </w:rPr>
  </w:style>
  <w:style w:type="character" w:customStyle="1" w:styleId="110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af3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4">
    <w:name w:val="Body Text"/>
    <w:basedOn w:val="a"/>
    <w:link w:val="af5"/>
    <w:uiPriority w:val="99"/>
    <w:semiHidden/>
    <w:unhideWhenUsed/>
    <w:pPr>
      <w:spacing w:before="0"/>
      <w:jc w:val="center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link w:val="af4"/>
    <w:uiPriority w:val="99"/>
    <w:semiHidden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pPr>
      <w:spacing w:before="0" w:after="120"/>
      <w:ind w:left="283"/>
    </w:pPr>
    <w:rPr>
      <w:rFonts w:ascii="Calibri" w:hAnsi="Calibri" w:cs="Calibri"/>
      <w:sz w:val="24"/>
    </w:rPr>
  </w:style>
  <w:style w:type="character" w:customStyle="1" w:styleId="af7">
    <w:name w:val="Основной текст с отступом Знак"/>
    <w:link w:val="af6"/>
    <w:uiPriority w:val="99"/>
    <w:semiHidden/>
    <w:rPr>
      <w:rFonts w:eastAsia="Times New Roman" w:cs="Calibri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pPr>
      <w:spacing w:before="0"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Pr>
      <w:rFonts w:eastAsia="Times New Roman" w:cs="Calibri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pPr>
      <w:spacing w:before="0" w:after="120" w:line="480" w:lineRule="auto"/>
      <w:ind w:left="283"/>
    </w:pPr>
    <w:rPr>
      <w:rFonts w:ascii="Calibri" w:hAnsi="Calibri" w:cs="Calibri"/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Pr>
      <w:rFonts w:eastAsia="Times New Roman" w:cs="Calibri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pPr>
      <w:spacing w:before="0"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Pr>
      <w:rFonts w:eastAsia="Times New Roman" w:cs="Calibri"/>
      <w:sz w:val="16"/>
      <w:szCs w:val="16"/>
    </w:rPr>
  </w:style>
  <w:style w:type="paragraph" w:styleId="af8">
    <w:name w:val="Block Text"/>
    <w:basedOn w:val="a"/>
    <w:uiPriority w:val="99"/>
    <w:semiHidden/>
    <w:unhideWhenUsed/>
    <w:pPr>
      <w:shd w:val="clear" w:color="auto" w:fill="FFFFFF"/>
      <w:spacing w:before="0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9">
    <w:name w:val="No Spacing"/>
    <w:link w:val="afa"/>
    <w:uiPriority w:val="99"/>
    <w:qFormat/>
    <w:rPr>
      <w:rFonts w:ascii="Times New Roman" w:eastAsia="Times New Roman" w:hAnsi="Times New Roman"/>
      <w:sz w:val="24"/>
      <w:szCs w:val="24"/>
    </w:rPr>
  </w:style>
  <w:style w:type="character" w:customStyle="1" w:styleId="afb">
    <w:name w:val="Основной текст_"/>
    <w:link w:val="12"/>
    <w:semiHidden/>
    <w:locked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b"/>
    <w:semiHidden/>
    <w:pPr>
      <w:shd w:val="clear" w:color="auto" w:fill="FFFFFF"/>
      <w:spacing w:before="6120" w:line="511" w:lineRule="exact"/>
      <w:ind w:hanging="1420"/>
      <w:jc w:val="center"/>
    </w:pPr>
    <w:rPr>
      <w:rFonts w:ascii="Times New Roman" w:hAnsi="Times New Roman"/>
      <w:sz w:val="23"/>
      <w:szCs w:val="23"/>
    </w:rPr>
  </w:style>
  <w:style w:type="paragraph" w:customStyle="1" w:styleId="-0">
    <w:name w:val="Контракт-пункт"/>
    <w:basedOn w:val="a"/>
    <w:uiPriority w:val="99"/>
    <w:semiHidden/>
    <w:pPr>
      <w:numPr>
        <w:ilvl w:val="1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-">
    <w:name w:val="Контракт-раздел"/>
    <w:basedOn w:val="a"/>
    <w:next w:val="-0"/>
    <w:uiPriority w:val="99"/>
    <w:semiHidden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  <w:sz w:val="24"/>
    </w:rPr>
  </w:style>
  <w:style w:type="paragraph" w:customStyle="1" w:styleId="-1">
    <w:name w:val="Контракт-подподпункт"/>
    <w:basedOn w:val="a"/>
    <w:uiPriority w:val="99"/>
    <w:semiHidden/>
    <w:pPr>
      <w:numPr>
        <w:ilvl w:val="2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xl63">
    <w:name w:val="xl63"/>
    <w:basedOn w:val="a"/>
    <w:uiPriority w:val="99"/>
    <w:semiHidden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5">
    <w:name w:val="xl65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69">
    <w:name w:val="xl69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2">
    <w:name w:val="xl72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4">
    <w:name w:val="xl74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6">
    <w:name w:val="xl76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8">
    <w:name w:val="xl78"/>
    <w:basedOn w:val="a"/>
    <w:uiPriority w:val="99"/>
    <w:semiHidden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9">
    <w:name w:val="xl79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0">
    <w:name w:val="xl80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2">
    <w:name w:val="xl82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 w:val="24"/>
    </w:rPr>
  </w:style>
  <w:style w:type="paragraph" w:customStyle="1" w:styleId="xl83">
    <w:name w:val="xl83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</w:rPr>
  </w:style>
  <w:style w:type="paragraph" w:customStyle="1" w:styleId="xl84">
    <w:name w:val="xl84"/>
    <w:basedOn w:val="a"/>
    <w:uiPriority w:val="99"/>
    <w:semiHidden/>
    <w:pP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85">
    <w:name w:val="xl85"/>
    <w:basedOn w:val="a"/>
    <w:uiPriority w:val="99"/>
    <w:semiHidden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semiHidden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uiPriority w:val="99"/>
    <w:semiHidden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semiHidden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"/>
    <w:uiPriority w:val="99"/>
    <w:semiHidden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0">
    <w:name w:val="xl90"/>
    <w:basedOn w:val="a"/>
    <w:uiPriority w:val="99"/>
    <w:semiHidden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a"/>
    <w:uiPriority w:val="99"/>
    <w:semiHidden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semiHidden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3">
    <w:name w:val="xl93"/>
    <w:basedOn w:val="a"/>
    <w:uiPriority w:val="99"/>
    <w:semiHidden/>
    <w:pP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0000"/>
      <w:sz w:val="24"/>
    </w:rPr>
  </w:style>
  <w:style w:type="paragraph" w:customStyle="1" w:styleId="xl95">
    <w:name w:val="xl95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7">
    <w:name w:val="xl97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8">
    <w:name w:val="xl98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1">
    <w:name w:val="xl101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2">
    <w:name w:val="xl102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5">
    <w:name w:val="xl105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a"/>
    <w:uiPriority w:val="99"/>
    <w:semiHidden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7">
    <w:name w:val="xl107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a"/>
    <w:uiPriority w:val="99"/>
    <w:semiHidden/>
    <w:pP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9">
    <w:name w:val="xl109"/>
    <w:basedOn w:val="a"/>
    <w:uiPriority w:val="99"/>
    <w:semiHidden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0">
    <w:name w:val="xl110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1">
    <w:name w:val="xl111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2">
    <w:name w:val="xl112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3">
    <w:name w:val="xl113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4">
    <w:name w:val="xl114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5">
    <w:name w:val="xl115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6">
    <w:name w:val="xl116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123">
    <w:name w:val="xl123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</w:rPr>
  </w:style>
  <w:style w:type="paragraph" w:customStyle="1" w:styleId="xl124">
    <w:name w:val="xl124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a"/>
    <w:uiPriority w:val="99"/>
    <w:semiHidden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a"/>
    <w:uiPriority w:val="99"/>
    <w:semiHidden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a"/>
    <w:uiPriority w:val="99"/>
    <w:semiHidden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a"/>
    <w:uiPriority w:val="99"/>
    <w:semiHidden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a"/>
    <w:uiPriority w:val="99"/>
    <w:semiHidden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rFonts w:ascii="Arial" w:eastAsia="Times New Roman" w:hAnsi="Arial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rFonts w:ascii="Arial" w:eastAsia="Times New Roman" w:hAnsi="Arial"/>
      <w:b/>
      <w:bCs/>
    </w:rPr>
  </w:style>
  <w:style w:type="character" w:styleId="aff1">
    <w:name w:val="Emphasis"/>
    <w:basedOn w:val="a0"/>
    <w:uiPriority w:val="20"/>
    <w:qFormat/>
    <w:locked/>
    <w:rPr>
      <w:i/>
      <w:iCs/>
    </w:rPr>
  </w:style>
  <w:style w:type="character" w:customStyle="1" w:styleId="afa">
    <w:name w:val="Без интервала Знак"/>
    <w:link w:val="af9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4">
    <w:name w:val="Знак Знак4 Знак Знак Знак Знак"/>
    <w:basedOn w:val="a"/>
    <w:pPr>
      <w:spacing w:before="0" w:after="160" w:line="240" w:lineRule="exact"/>
    </w:pPr>
    <w:rPr>
      <w:rFonts w:ascii="Verdana" w:hAnsi="Verdana"/>
      <w:color w:val="00000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2109C-CBE0-42B0-98EB-9C18DF671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938</Words>
  <Characters>6954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creator>Демидов Евгений Евгеньевич</dc:creator>
  <cp:lastModifiedBy>FedutinovaSV</cp:lastModifiedBy>
  <cp:revision>13</cp:revision>
  <cp:lastPrinted>2024-02-29T05:32:00Z</cp:lastPrinted>
  <dcterms:created xsi:type="dcterms:W3CDTF">2025-04-08T12:56:00Z</dcterms:created>
  <dcterms:modified xsi:type="dcterms:W3CDTF">2026-05-04T08:29:00Z</dcterms:modified>
</cp:coreProperties>
</file>